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1.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3.xml" ContentType="application/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fd0a6144466f4f23" Type="http://schemas.openxmlformats.org/officeDocument/2006/relationships/officeDocument" Target="/word/document.xml"/><Relationship Id="rId1" Type="http://schemas.openxmlformats.org/officeDocument/2006/relationships/custom-properties" Target="docProps/custom.xml"/></Relationships>
</file>

<file path=word/document.xml><?xml version="1.0" encoding="utf-8"?>
<w:document xmlns:w="http://schemas.openxmlformats.org/wordprocessingml/2006/main">
  <w:body>
    <w:sectPr/>
    <w:p>
      <w:pPr>
        <w:pStyle w:val="Heading 1"/>
        <w:pageBreakBefore w:val="false"/>
        <w:spacing w:before="200"/>
      </w:pPr>
      <w:r>
        <w:t xml:space="preserve">J30 Liquid applied tanking/ damp proofing</w:t>
      </w:r>
    </w:p>
    <w:p>
      <w:pPr>
        <w:pStyle w:val="Heading 3"/>
        <w:pageBreakBefore w:val="false"/>
      </w:pPr>
      <w:r>
        <w:t xml:space="preserve">To be read with Preliminaries/General conditions </w:t>
      </w:r>
    </w:p>
    <w:p>
      <w:pPr>
        <w:pStyle w:val="Heading 2"/>
        <w:pageBreakBefore w:val="false"/>
      </w:pPr>
      <w:r>
        <w:t xml:space="preserve">TYPES OF TANKING/ DAMP PROOFING </w:t>
      </w:r>
    </w:p>
    <w:p>
      <w:pPr>
        <w:pStyle w:val="Heading 3"/>
        <w:pageBreakBefore w:val="false"/>
      </w:pPr>
      <w:r>
        <w:t xml:space="preserve">110A SEAMLESS RUBBER WATERPROOFING MEMBRANE Newton 109-LM</w:t>
      </w:r>
    </w:p>
    <w:p>
      <w:pPr>
        <w:pStyle w:val="List Paragraph"/>
        <w:spacing w:after="0"/>
        <w:numPr>
          <w:ilvl w:val="0"/>
          <w:numId w:val="1"/>
        </w:numPr>
      </w:pPr>
      <w:r>
        <w:t xml:space="preserve">Substrate:  Concrete of at least 20kN.</w:t>
      </w:r>
    </w:p>
    <w:p>
      <w:pPr>
        <w:pStyle w:val="List Paragraph"/>
        <w:spacing w:after="0"/>
        <w:numPr>
          <w:ilvl w:val="0"/>
          <w:numId w:val="1"/>
        </w:numPr>
      </w:pPr>
      <w:r>
        <w:t xml:space="preserve">Primer:  Not required unless applied to horizontal surfaces. Where concrete or screed are aged, very dry and have an open surface, the surface should be dampened prior to application. In some cases, a very thin first coat should be applied prior to the main application. </w:t>
      </w:r>
    </w:p>
    <w:p>
      <w:pPr>
        <w:pStyle w:val="List Paragraph"/>
        <w:spacing w:after="0"/>
        <w:numPr>
          <w:ilvl w:val="0"/>
          <w:numId w:val="1"/>
        </w:numPr>
      </w:pPr>
      <w:r>
        <w:t xml:space="preserve">Coating:  Rubber.</w:t>
      </w:r>
    </w:p>
    <w:p>
      <w:pPr>
        <w:pStyle w:val="List Paragraph"/>
        <w:spacing w:after="0"/>
        <w:numPr>
          <w:ilvl w:val="1"/>
          <w:numId w:val="1"/>
        </w:numPr>
      </w:pPr>
      <w:r>
        <w:t xml:space="preserve">Manufacturer:  Newton Waterproofing Systems.</w:t>
      </w:r>
    </w:p>
    <w:p>
      <w:pPr>
        <w:pStyle w:val="List Paragraph"/>
        <w:spacing w:after="0"/>
        <w:numPr>
          <w:ilvl w:val="2"/>
          <w:numId w:val="1"/>
        </w:numPr>
      </w:pPr>
      <w:r>
        <w:t xml:space="preserve">Product reference:  109MV/ 109LV.</w:t>
      </w:r>
    </w:p>
    <w:p>
      <w:pPr>
        <w:pStyle w:val="List Paragraph"/>
        <w:spacing w:after="0"/>
        <w:numPr>
          <w:ilvl w:val="1"/>
          <w:numId w:val="1"/>
        </w:numPr>
      </w:pPr>
      <w:r>
        <w:t xml:space="preserve">Application:  Newton 109-LM applied to walls, terminated at DPC at ground level. Where it is not possible to spray due to space or other constraints, Newton 109-LM should be applied by brush or roller. </w:t>
      </w:r>
    </w:p>
    <w:p>
      <w:pPr>
        <w:pStyle w:val="List Paragraph"/>
        <w:spacing w:after="0"/>
        <w:numPr>
          <w:ilvl w:val="0"/>
          <w:numId w:val="1"/>
        </w:numPr>
      </w:pPr>
      <w:r>
        <w:t xml:space="preserve">Reinforcement: Reinforce static joints with Newton 914-RT. </w:t>
      </w:r>
    </w:p>
    <w:p>
      <w:pPr>
        <w:pStyle w:val="Heading 2"/>
        <w:pageBreakBefore w:val="false"/>
      </w:pPr>
      <w:r>
        <w:t xml:space="preserve">EXECUTION </w:t>
      </w:r>
    </w:p>
    <w:p>
      <w:pPr>
        <w:pStyle w:val="Heading 3"/>
        <w:pageBreakBefore w:val="false"/>
      </w:pPr>
      <w:r>
        <w:t xml:space="preserve">205A SUITABILITY OF SUBSTRATE </w:t>
      </w:r>
    </w:p>
    <w:p>
      <w:pPr>
        <w:pStyle w:val="List Paragraph"/>
        <w:spacing w:after="0"/>
        <w:numPr>
          <w:ilvl w:val="0"/>
          <w:numId w:val="1"/>
        </w:numPr>
      </w:pPr>
      <w:r>
        <w:t xml:space="preserve">Substrates generally: </w:t>
      </w:r>
    </w:p>
    <w:p>
      <w:pPr>
        <w:pStyle w:val="List Paragraph"/>
        <w:spacing w:after="0"/>
        <w:numPr>
          <w:ilvl w:val="1"/>
          <w:numId w:val="1"/>
        </w:numPr>
      </w:pPr>
      <w:r>
        <w:t xml:space="preserve">Smooth, even textured, clean, dry and frost free.</w:t>
      </w:r>
    </w:p>
    <w:p>
      <w:pPr>
        <w:pStyle w:val="List Paragraph"/>
        <w:spacing w:after="0"/>
        <w:numPr>
          <w:ilvl w:val="1"/>
          <w:numId w:val="1"/>
        </w:numPr>
      </w:pPr>
      <w:r>
        <w:t xml:space="preserve">Vertical and horizontal surfaces: Correctly prepared and free from irregularities. Surface porosity should be filled by bag/sack rubbing with a suitable bag/sack rubbing mix or dry sand &amp; cement, Remove all snots and surface irregularities.</w:t>
      </w:r>
    </w:p>
    <w:p>
      <w:pPr>
        <w:pStyle w:val="List Paragraph"/>
        <w:spacing w:after="0"/>
        <w:numPr>
          <w:ilvl w:val="0"/>
          <w:numId w:val="1"/>
        </w:numPr>
      </w:pPr>
      <w:r>
        <w:t xml:space="preserve">Moisture content and stability of substrate: Must not impair integrity of finished tanking.</w:t>
      </w:r>
    </w:p>
    <w:p>
      <w:pPr>
        <w:pStyle w:val="List Paragraph"/>
        <w:spacing w:after="0"/>
        <w:numPr>
          <w:ilvl w:val="0"/>
          <w:numId w:val="1"/>
        </w:numPr>
      </w:pPr>
      <w:r>
        <w:t xml:space="preserve">Preliminary work: Internal changes in direction: Smoothed with a 45° smoothing fillet of at least 25mm x 25mm, alternatively, changes in direction can be reinforced with Newton 914-RT adhered with 1mm coat of product in preparation for main application of the membrane.</w:t>
      </w:r>
    </w:p>
    <w:p>
      <w:pPr>
        <w:pStyle w:val="List Paragraph"/>
        <w:spacing w:after="0"/>
        <w:numPr>
          <w:ilvl w:val="1"/>
          <w:numId w:val="1"/>
        </w:numPr>
      </w:pPr>
      <w:r>
        <w:t xml:space="preserve">Construction joints: Bed Newton 914-RT into a coat of 1kg/m2 coat of the product ready for the main application of the membrane.</w:t>
      </w:r>
    </w:p>
    <w:p>
      <w:pPr>
        <w:pStyle w:val="List Paragraph"/>
        <w:spacing w:after="0"/>
        <w:numPr>
          <w:ilvl w:val="1"/>
          <w:numId w:val="1"/>
        </w:numPr>
      </w:pPr>
      <w:r>
        <w:t xml:space="preserve">Movement joints: Where slight contraction only is to be expected, Bed Newton 914-RT into  a coat of 1kg/m2 coat ready for main application of membrane. Where an open joint exists, this should be designed to suit the extent of expected movement. </w:t>
      </w:r>
    </w:p>
    <w:p>
      <w:pPr>
        <w:pStyle w:val="List Paragraph"/>
        <w:spacing w:after="0"/>
        <w:numPr>
          <w:ilvl w:val="1"/>
          <w:numId w:val="1"/>
        </w:numPr>
      </w:pPr>
      <w:r>
        <w:t xml:space="preserve">Penetrations/ Outlets: Pipe or cable ducts should be reinforced with Newton 914-RT tape or a Newton PipeCollar bedded into 1mm of 108 HydroBond-LM</w:t>
      </w:r>
    </w:p>
    <w:p>
      <w:pPr>
        <w:pStyle w:val="Heading 3"/>
        <w:pageBreakBefore w:val="false"/>
      </w:pPr>
      <w:r>
        <w:t xml:space="preserve">207A PRIMERS Not required unless applied to horizontal surfaces.</w:t>
      </w:r>
    </w:p>
    <w:p>
      <w:pPr>
        <w:pStyle w:val="List Paragraph"/>
        <w:spacing w:after="0"/>
        <w:numPr>
          <w:ilvl w:val="0"/>
          <w:numId w:val="1"/>
        </w:numPr>
      </w:pPr>
      <w:r>
        <w:t xml:space="preserve">Primer: In some cases, a very thin first coat should be applied prior to the main application.</w:t>
      </w:r>
    </w:p>
    <w:p>
      <w:pPr>
        <w:pStyle w:val="Heading 3"/>
        <w:pageBreakBefore w:val="false"/>
      </w:pPr>
      <w:r>
        <w:t xml:space="preserve">210A COATING APPLICATION </w:t>
      </w:r>
    </w:p>
    <w:p>
      <w:pPr>
        <w:pStyle w:val="List Paragraph"/>
        <w:spacing w:after="0"/>
        <w:numPr>
          <w:ilvl w:val="0"/>
          <w:numId w:val="1"/>
        </w:numPr>
      </w:pPr>
      <w:r>
        <w:t xml:space="preserve">Coatings: Apply in dry atmospheric conditions when substrate is dry/damp.</w:t>
      </w:r>
    </w:p>
    <w:p>
      <w:pPr>
        <w:pStyle w:val="List Paragraph"/>
        <w:spacing w:after="0"/>
        <w:ind w:start="600"/>
      </w:pPr>
      <w:r>
        <w:t xml:space="preserve">Surface porosity should be filled by bag/sack rubbing with a suitable bag/sack rubbing mix or dry sand &amp; cement Uniform, continuous coverage. Do not allow to pool in hollows.</w:t>
      </w:r>
    </w:p>
    <w:p>
      <w:pPr>
        <w:pStyle w:val="List Paragraph"/>
        <w:spacing w:after="0"/>
        <w:ind w:start="600"/>
      </w:pPr>
      <w:r>
        <w:t xml:space="preserve">Firmly adhered to substrate and free from imperfections.</w:t>
      </w:r>
    </w:p>
    <w:p>
      <w:pPr>
        <w:pStyle w:val="List Paragraph"/>
        <w:spacing w:after="0"/>
        <w:ind w:start="600"/>
      </w:pPr>
      <w:r>
        <w:t xml:space="preserve">Prevent damage to finished coatings.</w:t>
      </w:r>
    </w:p>
    <w:p>
      <w:pPr>
        <w:pStyle w:val="List Paragraph"/>
        <w:spacing w:after="0"/>
        <w:numPr>
          <w:ilvl w:val="0"/>
          <w:numId w:val="1"/>
        </w:numPr>
      </w:pPr>
      <w:r>
        <w:t xml:space="preserve">Penetrations: Seal using preformed sealing products, tapes and mastics as described above.</w:t>
      </w:r>
    </w:p>
    <w:p>
      <w:pPr>
        <w:pStyle w:val="List Paragraph"/>
        <w:spacing w:after="0"/>
        <w:numPr>
          <w:ilvl w:val="0"/>
          <w:numId w:val="1"/>
        </w:numPr>
      </w:pPr>
      <w:r>
        <w:t xml:space="preserve">Final covering: Apply as soon as possible after coating has hardened.</w:t>
      </w:r>
    </w:p>
    <w:p>
      <w:pPr>
        <w:pStyle w:val="Heading 3"/>
        <w:pageBreakBefore w:val="false"/>
      </w:pPr>
      <w:r>
        <w:t xml:space="preserve">260A JUNCTIONS WITH DPCS </w:t>
      </w:r>
    </w:p>
    <w:p>
      <w:pPr>
        <w:pStyle w:val="List Paragraph"/>
        <w:spacing w:after="0"/>
        <w:numPr>
          <w:ilvl w:val="0"/>
          <w:numId w:val="1"/>
        </w:numPr>
      </w:pPr>
      <w:r>
        <w:t xml:space="preserve">Dpcs: Flashing overlaps Newton 109-LM to protect from UV damage.</w:t>
      </w:r>
    </w:p>
    <w:p>
      <w:pPr>
        <w:pStyle w:val="List Paragraph"/>
        <w:spacing w:after="0"/>
        <w:numPr>
          <w:ilvl w:val="0"/>
          <w:numId w:val="1"/>
        </w:numPr>
      </w:pPr>
      <w:r>
        <w:t xml:space="preserve">UV stable finishing: Coloured quartz sand within a further tack coat.</w:t>
      </w:r>
    </w:p>
    <w:p>
      <w:pPr>
        <w:pStyle w:val="List Paragraph"/>
        <w:spacing w:after="0"/>
        <w:ind w:start="600"/>
      </w:pPr>
      <w:r>
        <w:t xml:space="preserve">Cavities: Newton 109-LM terminating at the cavity tray. </w:t>
      </w:r>
    </w:p>
    <w:p>
      <w:pPr>
        <w:pStyle w:val="Heading 2"/>
        <w:pageBreakBefore w:val="false"/>
      </w:pPr>
      <w:r>
        <w:t xml:space="preserve">COMPLETION </w:t>
      </w:r>
    </w:p>
    <w:p>
      <w:pPr>
        <w:pStyle w:val="Heading 3"/>
        <w:pageBreakBefore w:val="false"/>
      </w:pPr>
      <w:r>
        <w:t xml:space="preserve">330A PROTECTION OF EXTERNAL COATINGS </w:t>
      </w:r>
    </w:p>
    <w:p>
      <w:pPr>
        <w:pStyle w:val="List Paragraph"/>
        <w:spacing w:after="0"/>
        <w:numPr>
          <w:ilvl w:val="0"/>
          <w:numId w:val="1"/>
        </w:numPr>
      </w:pPr>
      <w:r>
        <w:t xml:space="preserve">Coated surface: Clean and free from contaminants.</w:t>
      </w:r>
    </w:p>
    <w:p>
      <w:pPr>
        <w:pStyle w:val="List Paragraph"/>
        <w:spacing w:after="0"/>
        <w:numPr>
          <w:ilvl w:val="0"/>
          <w:numId w:val="1"/>
        </w:numPr>
      </w:pPr>
      <w:r>
        <w:t xml:space="preserve">Board manufacturer:  Newton Waterproofing Systems.</w:t>
      </w:r>
    </w:p>
    <w:p>
      <w:pPr>
        <w:pStyle w:val="List Paragraph"/>
        <w:spacing w:after="0"/>
        <w:numPr>
          <w:ilvl w:val="1"/>
          <w:numId w:val="1"/>
        </w:numPr>
      </w:pPr>
      <w:r>
        <w:t xml:space="preserve">Product reference:  Newton 410 GeoDrain or Newton XPS 500-C Fibran.</w:t>
      </w:r>
    </w:p>
    <w:p>
      <w:pPr>
        <w:pStyle w:val="Heading 3"/>
        <w:pageBreakBefore w:val="false"/>
      </w:pPr>
      <w:r>
        <w:t xml:space="preserve">340A BACKFILLING TO EXTERNAL COATINGS </w:t>
      </w:r>
    </w:p>
    <w:p>
      <w:pPr>
        <w:pStyle w:val="List Paragraph"/>
        <w:spacing w:after="0"/>
        <w:numPr>
          <w:ilvl w:val="0"/>
          <w:numId w:val="1"/>
        </w:numPr>
      </w:pPr>
      <w:r>
        <w:t xml:space="preserve">Timing: Carry out as soon as possible after tanking and protection are complete.</w:t>
      </w:r>
    </w:p>
    <w:p>
      <w:pPr>
        <w:pStyle w:val="List Paragraph"/>
        <w:spacing w:after="0"/>
        <w:ind w:start="600"/>
      </w:pPr>
      <w:r>
        <w:t xml:space="preserve">Newton 410 GeoDrain: Graded stone placed in controlled layers of no more than 600mm so as to prevent slump to the membrane.</w:t>
      </w:r>
    </w:p>
    <w:p>
      <w:pPr>
        <w:pStyle w:val="List Paragraph"/>
        <w:spacing w:after="0"/>
        <w:ind w:start="600"/>
      </w:pPr>
      <w:r>
        <w:t xml:space="preserve">Newton 500-C Fibran: Ensure removed soil is compacted every 600mm.</w:t>
      </w:r>
    </w:p>
  </w:body>
</w:document>
</file>

<file path=word/numbering.xml><?xml version="1.0" encoding="utf-8"?>
<w:numbering xmlns:w="http://schemas.openxmlformats.org/wordprocessingml/2006/main">
  <w:abstractNum w:abstractNumId="0">
    <w:multiLevelType w:val="hybridMultilevel"/>
    <w:lvl w:ilvl="0">
      <w:numFmt w:val="bullet"/>
      <w:lvlText w:val="·"/>
      <w:lvlJc w:val="left"/>
      <w:pPr>
        <w:ind w:left="600" w:start="600" w:hanging="360"/>
      </w:pPr>
      <w:rPr>
        <w:rFonts w:hint="default" w:ascii="Symbol" w:hAnsi="Symbol"/>
      </w:rPr>
    </w:lvl>
    <w:lvl w:ilvl="1">
      <w:numFmt w:val="bullet"/>
      <w:lvlText w:val="-"/>
      <w:lvlJc w:val="left"/>
      <w:pPr>
        <w:ind w:left="1200" w:start="1200" w:hanging="360"/>
      </w:pPr>
      <w:rPr>
        <w:rFonts w:hint="default" w:ascii="Symbol" w:hAnsi="Symbol"/>
      </w:rPr>
    </w:lvl>
    <w:lvl w:ilvl="2">
      <w:numFmt w:val="bullet"/>
      <w:lvlText w:val=""/>
      <w:lvlJc w:val="left"/>
      <w:pPr>
        <w:ind w:left="1800" w:start="1800" w:hanging="360"/>
      </w:pPr>
      <w:rPr>
        <w:rFonts w:hint="default" w:ascii="Symbol" w:hAnsi="Symbol"/>
      </w:rPr>
    </w:lvl>
  </w:abstractNum>
  <w:num w:numId="1">
    <w:abstractNumId w:val="0"/>
  </w:num>
</w:numbering>
</file>

<file path=word/settings.xml><?xml version="1.0" encoding="utf-8"?>
<w:settings xmlns:w="http://schemas.openxmlformats.org/wordprocessingml/2006/main">
  <w:compat>
    <w:compatSetting w:name="compatibilityMode" w:uri="http://schemas.microsoft.com/office/word" w:val="14"/>
  </w:compat>
</w:settings>
</file>

<file path=word/styles.xml><?xml version="1.0" encoding="utf-8"?>
<w:styles xmlns:w="http://schemas.openxmlformats.org/wordprocessingml/2006/main">
  <w:docDefaults>
    <w:rPrDefault>
      <w:rPr>
        <w:rFonts w:asciiTheme="minorHAnsi" w:hAnsiTheme="minorHAnsi" w:eastAsiaTheme="minorEastAsia" w:cstheme="minorBidi"/>
        <w:sz w:val="22"/>
        <w:szCs w:val="22"/>
        <w:lang w:val="en-GB" w:eastAsia="en-US" w:bidi="ar-SA"/>
      </w:rPr>
    </w:rPrDefault>
    <w:pPrDefault>
      <w:pPr>
        <w:spacing w:after="200" w:line="276" w:lineRule="auto"/>
      </w:pPr>
    </w:pPrDefault>
  </w:docDefaults>
  <w:style w:type="character" w:styleId="DefaultParagraphFont" w:default="true">
    <w:name w:val="Default Paragraph Font"/>
    <w:uiPriority w:val="1"/>
    <w:semiHidden/>
    <w:unhideWhenUsed/>
  </w:style>
  <w:style w:type="paragraph" w:styleId="Heading 1" w:default="false" w:customStyle="false">
    <w:name w:val="Heading 1"/>
    <w:basedOn w:val="Normal"/>
    <w:pPr>
      <w:spacing w:before="480" w:after="0" w:lineRule="auto"/>
      <w:keepNext/>
      <w:keepLines/>
      <w:outlineLvl w:val="0"/>
      <w:pageBreakBefore/>
    </w:pPr>
    <w:uiPriority w:val="9"/>
    <w:qFormat/>
    <w:next w:val="Normal"/>
    <w:link w:val="Heading 1 char"/>
    <w:rPr>
      <w:rFonts w:ascii="Cambria" w:asciiTheme="majorHAnsi" w:hAnsiTheme="majorHAnsi" w:eastAsiaTheme="majorEastAsia" w:cstheme="majorBidi"/>
      <w:b/>
      <w:bCs/>
      <w:color w:val="365F91" w:themeColor="accent1" w:themeShade="BF"/>
      <w:sz w:val="28"/>
      <w:szCs w:val="28"/>
    </w:rPr>
  </w:style>
  <w:style w:type="character" w:styleId="Heading 1 char" w:default="false" w:customStyle="false">
    <w:name w:val="Heading 1 char"/>
    <w:basedOn w:val="Normal"/>
    <w:pPr>
      <w:spacing w:before="480" w:after="0" w:lineRule="auto"/>
      <w:keepNext/>
      <w:keepLines/>
      <w:outlineLvl w:val="0"/>
      <w:pageBreakBefore/>
    </w:pPr>
    <w:uiPriority w:val="9"/>
    <w:qFormat/>
    <w:next w:val="Normal"/>
    <w:link w:val="Heading 1"/>
    <w:rPr>
      <w:rFonts w:ascii="Cambria" w:asciiTheme="majorHAnsi" w:hAnsiTheme="majorHAnsi" w:eastAsiaTheme="majorEastAsia" w:cstheme="majorBidi"/>
      <w:b/>
      <w:bCs/>
      <w:color w:val="365F91" w:themeColor="accent1" w:themeShade="BF"/>
      <w:sz w:val="28"/>
      <w:szCs w:val="28"/>
    </w:rPr>
  </w:style>
  <w:style w:type="paragraph" w:styleId="Heading 2" w:default="false" w:customStyle="false">
    <w:name w:val="Heading 2"/>
    <w:basedOn w:val="Normal"/>
    <w:pPr>
      <w:spacing w:before="200" w:after="0" w:lineRule="auto"/>
      <w:keepNext/>
      <w:keepLines/>
      <w:outlineLvl w:val="0"/>
    </w:pPr>
    <w:uiPriority w:val="9"/>
    <w:qFormat/>
    <w:next w:val="Normal"/>
    <w:unhideWhenUsed/>
    <w:link w:val="Heading 2 char"/>
    <w:rPr>
      <w:rFonts w:ascii="Cambria" w:asciiTheme="majorHAnsi" w:hAnsiTheme="majorHAnsi" w:eastAsiaTheme="majorEastAsia" w:cstheme="majorBidi"/>
      <w:b/>
      <w:bCs/>
      <w:color w:val="4F81BD" w:themeColor="accent1"/>
      <w:sz w:val="26"/>
      <w:szCs w:val="26"/>
    </w:rPr>
  </w:style>
  <w:style w:type="character" w:styleId="Heading 2 char" w:default="false" w:customStyle="false">
    <w:name w:val="Heading 2 char"/>
    <w:basedOn w:val="Normal"/>
    <w:pPr>
      <w:spacing w:before="200" w:after="0" w:lineRule="auto"/>
      <w:keepNext/>
      <w:keepLines/>
    </w:pPr>
    <w:uiPriority w:val="9"/>
    <w:qFormat/>
    <w:next w:val="Normal"/>
    <w:unhideWhenUsed/>
    <w:link w:val="Heading 2"/>
    <w:rPr>
      <w:rFonts w:ascii="Cambria" w:asciiTheme="majorHAnsi" w:hAnsiTheme="majorHAnsi" w:eastAsiaTheme="majorEastAsia" w:cstheme="majorBidi"/>
      <w:b/>
      <w:bCs/>
      <w:color w:val="4F81BD" w:themeColor="accent1"/>
      <w:sz w:val="26"/>
      <w:szCs w:val="26"/>
    </w:rPr>
  </w:style>
  <w:style w:type="paragraph" w:styleId="Heading 3" w:default="false" w:customStyle="false">
    <w:name w:val="Heading 3"/>
    <w:basedOn w:val="Normal"/>
    <w:pPr>
      <w:spacing w:before="200" w:after="0" w:lineRule="auto"/>
      <w:keepNext/>
      <w:keepLines/>
    </w:pPr>
    <w:uiPriority w:val="9"/>
    <w:qFormat/>
    <w:next w:val="Normal"/>
    <w:unhideWhenUsed/>
    <w:link w:val="Heading 3 char"/>
    <w:rPr>
      <w:rFonts w:ascii="Cambria" w:asciiTheme="majorHAnsi" w:hAnsiTheme="majorHAnsi" w:eastAsiaTheme="majorEastAsia" w:cstheme="majorBidi"/>
      <w:b/>
      <w:bCs/>
      <w:color w:val="4F81BD" w:themeColor="accent1"/>
    </w:rPr>
  </w:style>
  <w:style w:type="character" w:styleId="Heading 3 char" w:default="false" w:customStyle="false">
    <w:name w:val="Heading 3 char"/>
    <w:basedOn w:val="Normal"/>
    <w:pPr>
      <w:spacing w:before="200" w:after="0" w:lineRule="auto"/>
      <w:keepNext/>
      <w:keepLines/>
    </w:pPr>
    <w:uiPriority w:val="9"/>
    <w:qFormat/>
    <w:next w:val="Normal"/>
    <w:unhideWhenUsed/>
    <w:link w:val="Heading 3"/>
    <w:rPr>
      <w:rFonts w:ascii="Cambria" w:asciiTheme="majorHAnsi" w:hAnsiTheme="majorHAnsi" w:eastAsiaTheme="majorEastAsia" w:cstheme="majorBidi"/>
      <w:b/>
      <w:bCs/>
      <w:color w:val="4F81BD" w:themeColor="accent1"/>
    </w:rPr>
  </w:style>
  <w:style w:type="paragraph" w:styleId="Normal" w:default="true" w:customStyle="false">
    <w:name w:val="Normal"/>
    <w:pPr/>
    <w:qFormat/>
    <w:rPr/>
  </w:style>
  <w:style w:type="character" w:styleId="Hyperlink" w:default="false" w:customStyle="false">
    <w:name w:val="Hyperlink"/>
    <w:basedOn w:val="DefaultParagraphFont"/>
    <w:pPr/>
    <w:uiPriority w:val="99"/>
    <w:unhideWhenUsed/>
    <w:rPr>
      <w:color w:val="0000FF" w:themeColor="hyperlink"/>
      <w:u w:val="single"/>
    </w:rPr>
  </w:style>
  <w:style w:type="paragraph" w:styleId="List Paragraph" w:default="false" w:customStyle="false">
    <w:name w:val="List Paragraph"/>
    <w:basedOn w:val="Normal"/>
    <w:pPr>
      <w:contextualSpacing/>
      <w:ind w:start="720"/>
    </w:pPr>
    <w:uiPriority w:val="34"/>
    <w:qFormat/>
    <w:rPr/>
  </w:style>
  <w:style w:type="paragraph" w:styleId="title" w:default="false" w:customStyle="false">
    <w:name w:val="Title"/>
    <w:basedOn w:val="Normal"/>
    <w:pPr>
      <w:spacing w:after="300" w:line="240" w:lineRule="auto"/>
      <w:contextualSpacing/>
      <w:pageBreakBefore/>
      <w:pBdr>
        <w:bottom w:val="single" w:color="4f81bd" w:themeColor="accent1" w:sz="8" w:space="4"/>
      </w:pBdr>
    </w:pPr>
    <w:uiPriority w:val="10"/>
    <w:qFormat/>
    <w:next w:val="Normal"/>
    <w:link w:val="title char"/>
    <w:rPr>
      <w:rFonts w:ascii="cambria" w:asciiTheme="majorHAnsi" w:hAnsiTheme="majorHAnsi" w:eastAsiaTheme="majorEastAsia" w:cstheme="majorBidi"/>
      <w:color w:val="17365d" w:themeColor="text2" w:themeShade="bf"/>
      <w:sz w:val="52"/>
      <w:szCs w:val="52"/>
      <w:spacing w:val="5"/>
      <w:kern w:val="28"/>
    </w:rPr>
  </w:style>
  <w:style w:type="character" w:styleId="title char" w:default="false" w:customStyle="false">
    <w:name w:val="Title char"/>
    <w:basedOn w:val="Normal"/>
    <w:pPr>
      <w:spacing w:after="300" w:line="240" w:lineRule="auto"/>
      <w:contextualSpacing/>
      <w:pageBreakBefore/>
    </w:pPr>
    <w:uiPriority w:val="10"/>
    <w:qFormat/>
    <w:next w:val="Normal"/>
    <w:link w:val="title"/>
    <w:rPr>
      <w:rFonts w:ascii="cambria" w:asciiTheme="majorHAnsi" w:hAnsiTheme="majorHAnsi" w:eastAsiaTheme="majorEastAsia" w:cstheme="majorBidi"/>
      <w:color w:val="17365d" w:themeColor="text2" w:themeShade="bf"/>
      <w:sz w:val="52"/>
      <w:szCs w:val="52"/>
      <w:spacing w:val="5"/>
      <w:kern w:val="28"/>
    </w:rPr>
  </w:style>
  <w:style w:type="paragraph" w:styleId="NBS End Of Section" w:default="false" w:customStyle="true">
    <w:name w:val="NBS End Of Section"/>
    <w:basedOn w:val="Normal"/>
    <w:pPr/>
    <w:uiPriority w:val="49"/>
    <w:qFormat/>
    <w:next w:val="Normal"/>
    <w:rPr>
      <w:color w:themeColor="text1" w:themeTint="7F"/>
    </w:rPr>
  </w:style>
  <w:style w:type="character" w:styleId="NBS Clause Item Title" w:default="false" w:customStyle="true">
    <w:name w:val="NBS Clause Item Title"/>
    <w:basedOn w:val="DefaultParagraphFont"/>
    <w:pPr/>
    <w:uiPriority w:val="49"/>
    <w:qFormat/>
    <w:rPr>
      <w:b/>
      <w:bCs/>
    </w:rPr>
  </w:style>
  <w:style w:type="character" w:styleId="NBS Deleted Clause" w:default="false" w:customStyle="true">
    <w:name w:val="NBS Deleted Clause"/>
    <w:basedOn w:val="DefaultParagraphFont"/>
    <w:pPr/>
    <w:uiPriority w:val="49"/>
    <w:qFormat/>
    <w:rPr>
      <w:color w:val="FF0000"/>
      <w:strike/>
      <w:dstrike w:val="false"/>
    </w:rPr>
  </w:style>
  <w:style w:type="paragraph" w:styleId="NBS Revised Clause" w:default="false" w:customStyle="true">
    <w:name w:val="NBS Revised Clause"/>
    <w:basedOn w:val="Normal"/>
    <w:pPr/>
    <w:uiPriority w:val="49"/>
    <w:qFormat/>
    <w:rPr>
      <w:color w:val="FF0000"/>
      <w:i/>
    </w:rPr>
  </w:style>
  <w:style w:type="paragraph" w:styleId="Subtitle" w:default="false" w:customStyle="false">
    <w:name w:val="Subtitle"/>
    <w:basedOn w:val="Normal"/>
    <w:pPr>
      <w:pageBreakBefore/>
    </w:pPr>
    <w:uiPriority w:val="11"/>
    <w:qFormat/>
    <w:next w:val="Normal"/>
    <w:link w:val="Subtitle char"/>
    <w:rPr>
      <w:rFonts w:ascii="cambria" w:asciiTheme="majorHAnsi" w:hAnsiTheme="majorHAnsi" w:eastAsiaTheme="majorEastAsia" w:cstheme="majorBidi"/>
      <w:color w:val="4F81BD" w:themeColor="accent1"/>
      <w:sz w:val="24"/>
      <w:szCs w:val="24"/>
      <w:i/>
      <w:spacing w:val="15"/>
    </w:rPr>
  </w:style>
  <w:style w:type="character" w:styleId="Subtitle char" w:default="false" w:customStyle="true">
    <w:name w:val="Subtitle char"/>
    <w:basedOn w:val="Normal"/>
    <w:pPr>
      <w:pageBreakBefore/>
    </w:pPr>
    <w:uiPriority w:val="11"/>
    <w:qFormat/>
    <w:next w:val="Normal"/>
    <w:link w:val="Subtitle"/>
    <w:rPr>
      <w:rFonts w:ascii="cambria" w:asciiTheme="majorHAnsi" w:hAnsiTheme="majorHAnsi" w:eastAsiaTheme="majorEastAsia" w:cstheme="majorBidi"/>
      <w:color w:val="4F81BD" w:themeColor="accent1"/>
      <w:sz w:val="24"/>
      <w:szCs w:val="24"/>
      <w:i/>
      <w:spacing w:val="15"/>
    </w:rPr>
  </w:style>
  <w:style w:type="paragraph" w:styleId="NBS Subtitle" w:default="false" w:customStyle="true">
    <w:name w:val="NBS Subtitle"/>
    <w:basedOn w:val="Subtitle"/>
    <w:pPr/>
    <w:uiPriority w:val="49"/>
    <w:qFormat/>
    <w:rPr>
      <w:sz w:val="40"/>
      <w:szCs w:val="40"/>
    </w:rPr>
  </w:style>
  <w:style w:type="paragraph" w:styleId="NBS Revision Table Heading" w:default="false" w:customStyle="true">
    <w:name w:val="NBS Revision Table Heading"/>
    <w:basedOn w:val="Normal"/>
    <w:pPr>
      <w:spacing w:after="0" w:line="240" w:lineRule="auto"/>
      <w:pageBreakBefore/>
    </w:pPr>
    <w:uiPriority w:val="49"/>
    <w:qFormat/>
    <w:rPr>
      <w:b/>
      <w:bCs/>
    </w:rPr>
  </w:style>
  <w:style w:type="paragraph" w:styleId="NBS Report Table Heading" w:default="false" w:customStyle="true">
    <w:name w:val="NBS Report Table Heading"/>
    <w:basedOn w:val="Normal"/>
    <w:pPr>
      <w:spacing w:before="200" w:lineRule="auto"/>
    </w:pPr>
    <w:uiPriority w:val="49"/>
    <w:qFormat/>
    <w:next w:val="Normal"/>
    <w:rPr>
      <w:b/>
      <w:bCs/>
    </w:rPr>
  </w:style>
  <w:style w:type="paragraph" w:styleId="NBS Report Table Subheading" w:default="false" w:customStyle="true">
    <w:name w:val="NBS Report Table Subheading"/>
    <w:basedOn w:val="Normal"/>
    <w:pPr/>
    <w:uiPriority w:val="49"/>
    <w:qFormat/>
    <w:next w:val="Normal"/>
    <w:rPr>
      <w:b/>
      <w:bCs/>
    </w:rPr>
  </w:style>
  <w:style w:type="paragraph" w:styleId="NBS Report List" w:default="false" w:customStyle="true">
    <w:name w:val="NBS Report List"/>
    <w:basedOn w:val="List Paragraph"/>
    <w:pPr>
      <w:spacing w:after="0" w:line="240" w:lineRule="auto"/>
      <w:ind w:left="227" w:hanging="227"/>
      <w:numPr>
        <w:numId w:val="1"/>
      </w:numPr>
    </w:pPr>
    <w:uiPriority w:val="49"/>
    <w:qFormat/>
    <w:rPr/>
  </w:style>
  <w:style w:type="table" w:styleId="RevisionDetails">
    <w:name w:val="RevisionDetails"/>
    <w:pPr/>
    <w:tblPr>
      <w:tblBorders>
        <w:top w:val="basicThinLines" w:sz="1"/>
        <w:bottom w:val="basicThinLines" w:sz="1"/>
        <w:left w:val="basicThinLines" w:sz="1"/>
        <w:right w:val="basicThinLines" w:sz="1"/>
        <w:insideH w:val="basicThinLines" w:sz="1"/>
        <w:insideV w:val="basicThinLines" w:sz="1"/>
      </w:tblBorders>
      <w:tblCellMar>
        <w:top w:w="0" w:type="dxa"/>
        <w:left w:w="142" w:type="dxa"/>
        <w:bottom w:w="0" w:type="dxa"/>
        <w:right w:w="0" w:type="dxa"/>
      </w:tblCellMar>
    </w:tblPr>
    <w:basedOn w:val="TableNormal"/>
  </w:style>
  <w:style w:type="paragraph" w:styleId="TOCHeading" w:default="false" w:customStyle="false">
    <w:name w:val="TOCHeading"/>
    <w:basedOn w:val="Normal"/>
    <w:pPr>
      <w:spacing w:before="480" w:after="0" w:lineRule="auto"/>
      <w:keepNext/>
      <w:keepLines/>
      <w:outlineLvl w:val="0"/>
    </w:pPr>
    <w:uiPriority w:val="9"/>
    <w:qFormat/>
    <w:next w:val="Normal"/>
    <w:link w:val="TOCHeading char"/>
    <w:rPr>
      <w:rFonts w:ascii="Cambria" w:asciiTheme="majorHAnsi" w:hAnsiTheme="majorHAnsi" w:eastAsiaTheme="majorEastAsia" w:cstheme="majorBidi"/>
      <w:b/>
      <w:bCs/>
      <w:color w:val="365F91" w:themeColor="accent1" w:themeShade="BF"/>
      <w:sz w:val="28"/>
      <w:szCs w:val="28"/>
    </w:rPr>
  </w:style>
</w:styles>
</file>

<file path=word/_rels/document.xml.rels><?xml version="1.0" encoding="UTF-8" standalone="yes"?>
<Relationships xmlns="http://schemas.openxmlformats.org/package/2006/relationships"><Relationship Id="R9b45e43002fe446a" Type="http://schemas.openxmlformats.org/officeDocument/2006/relationships/styles" Target="/word/styles.xml"/><Relationship Id="rId3" Type="http://schemas.openxmlformats.org/officeDocument/2006/relationships/customXml" Target="../customXml/item3.xml"/><Relationship Id="R8ae83fe289154b5d" Type="http://schemas.openxmlformats.org/officeDocument/2006/relationships/numbering" Target="/word/numbering.xml"/><Relationship Id="rId2" Type="http://schemas.openxmlformats.org/officeDocument/2006/relationships/customXml" Target="../customXml/item2.xml"/><Relationship Id="rId1" Type="http://schemas.openxmlformats.org/officeDocument/2006/relationships/customXml" Target="../customXml/item1.xml"/><Relationship Id="R2818968943424c6d" Type="http://schemas.openxmlformats.org/officeDocument/2006/relationships/settings" Target="/word/settings.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B04D3CF99CB040830A055EF63882F1" ma:contentTypeVersion="11" ma:contentTypeDescription="Create a new document." ma:contentTypeScope="" ma:versionID="e2b6f18d07041fe697006110671480ad">
  <xsd:schema xmlns:xsd="http://www.w3.org/2001/XMLSchema" xmlns:xs="http://www.w3.org/2001/XMLSchema" xmlns:p="http://schemas.microsoft.com/office/2006/metadata/properties" xmlns:ns2="fc5253de-7ed9-49e3-aaac-31cd52e46be1" xmlns:ns3="c3432360-2d18-4de5-87c4-aa8620f8e462" targetNamespace="http://schemas.microsoft.com/office/2006/metadata/properties" ma:root="true" ma:fieldsID="0c05ddacba6c69356983fc6e04b67cdd" ns2:_="" ns3:_="">
    <xsd:import namespace="fc5253de-7ed9-49e3-aaac-31cd52e46be1"/>
    <xsd:import namespace="c3432360-2d18-4de5-87c4-aa8620f8e4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253de-7ed9-49e3-aaac-31cd52e46be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432360-2d18-4de5-87c4-aa8620f8e46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10E65A-B01E-4B37-814C-23D22271A3BB}"/>
</file>

<file path=customXml/itemProps2.xml><?xml version="1.0" encoding="utf-8"?>
<ds:datastoreItem xmlns:ds="http://schemas.openxmlformats.org/officeDocument/2006/customXml" ds:itemID="{0F48F45B-FBFD-4D52-A2B9-F1D024303231}"/>
</file>

<file path=customXml/itemProps3.xml><?xml version="1.0" encoding="utf-8"?>
<ds:datastoreItem xmlns:ds="http://schemas.openxmlformats.org/officeDocument/2006/customXml" ds:itemID="{869F726A-4BBC-40FB-BE69-6920FC76FFB6}"/>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0x0101000AB04D3CF99CB040830A055EF63882F1</vt:lpwstr>
  </property>
</Properties>
</file>