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1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b1ef2ad5cb7e4f65" Type="http://schemas.openxmlformats.org/officeDocument/2006/relationships/officeDocument" Target="/word/document.xml"/><Relationship Id="rId1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>
  <w:body>
    <w:sectPr/>
    <w:p>
      <w:pPr>
        <w:pStyle w:val="Heading 1"/>
        <w:pageBreakBefore w:val="false"/>
        <w:spacing w:before="200"/>
      </w:pPr>
      <w:r>
        <w:t xml:space="preserve">J10 Cementitious mortar tanking/ damp proofing</w:t>
      </w:r>
    </w:p>
    <w:p>
      <w:pPr>
        <w:pStyle w:val=""/>
        <w:pageBreakBefore w:val="false"/>
      </w:pPr>
      <w:r>
        <w:t xml:space="preserve">TO BE READ WITH PRELIMINARIES/ GENERAL CONDITIONS </w:t>
      </w:r>
    </w:p>
    <w:p>
      <w:pPr>
        <w:pStyle w:val="Heading 2"/>
        <w:pageBreakBefore w:val="false"/>
      </w:pPr>
      <w:r>
        <w:t xml:space="preserve">CEMENTITIOUS PLUG </w:t>
      </w:r>
    </w:p>
    <w:p>
      <w:pPr>
        <w:pStyle w:val="Heading 3"/>
        <w:pageBreakBefore w:val="false"/>
      </w:pPr>
      <w:r>
        <w:t xml:space="preserve">125 FAST SETTING POLYMER COMPOUND 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Manufacturer: Newton Waterproofing Systems Ltd.</w:t>
      </w:r>
    </w:p>
    <w:p>
      <w:pPr>
        <w:pStyle w:val="List Paragraph"/>
        <w:spacing w:after="0"/>
        <w:ind w:start="600"/>
      </w:pPr>
      <w:pPr>
        <w:tabs>
          <w:tab w:val="right" w:leader="none" w:pos="0"/>
        </w:tabs>
      </w:pPr>
      <w:r>
        <w:t xml:space="preserve">	Web: www.newtonwaterproofing.co.uk.</w:t>
      </w:r>
    </w:p>
    <w:p>
      <w:pPr>
        <w:pStyle w:val="List Paragraph"/>
        <w:spacing w:after="0"/>
        <w:ind w:start="600"/>
      </w:pPr>
      <w:pPr>
        <w:tabs>
          <w:tab w:val="right" w:leader="none" w:pos="0"/>
        </w:tabs>
      </w:pPr>
      <w:r>
        <w:t xml:space="preserve">	Email: tech@newtonwaterproofing.co.uk.</w:t>
      </w:r>
    </w:p>
    <w:p>
      <w:pPr>
        <w:pStyle w:val="List Paragraph"/>
        <w:spacing w:after="0"/>
        <w:ind w:start="600"/>
      </w:pPr>
      <w:pPr>
        <w:tabs>
          <w:tab w:val="right" w:leader="none" w:pos="0"/>
        </w:tabs>
      </w:pPr>
      <w:r>
        <w:t xml:space="preserve">	Tel: +44 (0)1732 360095</w:t>
      </w:r>
    </w:p>
    <w:p>
      <w:pPr>
        <w:pStyle w:val="List Paragraph"/>
        <w:spacing w:after="0"/>
        <w:ind w:start="600"/>
      </w:pPr>
      <w:r>
        <w:t xml:space="preserve">	Address: Newton House, 17-20 Sovereign Way, Tonbridge, Kent TN9 1RH.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Product reference: Newton 313-WP WaterPlug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Substrate: Concrete.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Product code: 313-WP.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Application: Trowel or filling knife.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Coverage: 1kg = 0.46 litres</w:t>
      </w:r>
    </w:p>
    <w:p>
      <w:pPr>
        <w:pStyle w:val="Heading 2"/>
        <w:pageBreakBefore w:val="false"/>
      </w:pPr>
      <w:r>
        <w:t xml:space="preserve">MATERIALS AND MAKING OF MORTAR </w:t>
      </w:r>
    </w:p>
    <w:p>
      <w:pPr>
        <w:pStyle w:val="Heading 3"/>
        <w:pageBreakBefore w:val="false"/>
      </w:pPr>
      <w:r>
        <w:t xml:space="preserve">350A MIXING </w:t>
      </w:r>
    </w:p>
    <w:p>
      <w:pPr>
        <w:pStyle w:val="List Paragraph"/>
        <w:spacing w:after="0"/>
        <w:ind w:start="0"/>
      </w:pPr>
      <w:pPr>
        <w:tabs>
          <w:tab w:val="right" w:leader="none" w:pos="0"/>
        </w:tabs>
      </w:pPr>
      <w:r>
        <w:t xml:space="preserve">• 	Mix Newton 313-WP WaterPlug with clean water only. </w:t>
      </w:r>
    </w:p>
    <w:p>
      <w:pPr>
        <w:pStyle w:val="List Paragraph"/>
        <w:spacing w:after="0"/>
        <w:ind w:start="0"/>
      </w:pPr>
      <w:pPr>
        <w:tabs>
          <w:tab w:val="right" w:leader="none" w:pos="0"/>
        </w:tabs>
      </w:pPr>
      <w:r>
        <w:t xml:space="preserve">• 	Add just enough water to form a putty consistency. Do not use more Newton 313-WP </w:t>
      </w:r>
    </w:p>
    <w:p>
      <w:pPr>
        <w:pStyle w:val="List Paragraph"/>
        <w:spacing w:after="0"/>
        <w:ind w:start="0"/>
      </w:pPr>
      <w:pPr>
        <w:tabs>
          <w:tab w:val="right" w:leader="none" w:pos="0"/>
        </w:tabs>
      </w:pPr>
      <w:r>
        <w:t xml:space="preserve">	WaterPlug than can be placed in 2 minutes, whilst allowing for only a 30 second mixing period. </w:t>
      </w:r>
    </w:p>
    <w:p>
      <w:pPr>
        <w:pStyle w:val="List Paragraph"/>
        <w:spacing w:after="0"/>
        <w:ind w:start="0"/>
      </w:pPr>
      <w:pPr>
        <w:tabs>
          <w:tab w:val="right" w:leader="none" w:pos="0"/>
        </w:tabs>
      </w:pPr>
      <w:r>
        <w:t xml:space="preserve">	Place with minimum working or rubbing. Force Newton 313-WP WaterPlug into the crack or hole </w:t>
      </w:r>
    </w:p>
    <w:p>
      <w:pPr>
        <w:pStyle w:val="List Paragraph"/>
        <w:spacing w:after="0"/>
        <w:ind w:start="0"/>
      </w:pPr>
      <w:pPr>
        <w:tabs>
          <w:tab w:val="right" w:leader="none" w:pos="0"/>
        </w:tabs>
      </w:pPr>
      <w:r>
        <w:t xml:space="preserve">	by pushing firmly; using maximum pressure. Keep damp for at least 15 minutes to help curing.</w:t>
      </w:r>
    </w:p>
    <w:p>
      <w:pPr>
        <w:pStyle w:val="List Paragraph"/>
        <w:spacing w:after="0"/>
        <w:ind w:start="0"/>
      </w:pPr>
      <w:pPr>
        <w:tabs>
          <w:tab w:val="right" w:leader="none" w:pos="0"/>
        </w:tabs>
      </w:pPr>
      <w:r>
        <w:t xml:space="preserve">• 	Newton 313-WP WaterPlug begins to set very quickly when the temperature is above 25°C. </w:t>
      </w:r>
    </w:p>
    <w:p>
      <w:pPr>
        <w:pStyle w:val="List Paragraph"/>
        <w:spacing w:after="0"/>
        <w:ind w:start="0"/>
      </w:pPr>
      <w:pPr>
        <w:tabs>
          <w:tab w:val="right" w:leader="none" w:pos="0"/>
        </w:tabs>
      </w:pPr>
      <w:r>
        <w:t xml:space="preserve">	For best results make sure product and mixing water are below 25°C at time of application, </w:t>
      </w:r>
    </w:p>
    <w:p>
      <w:pPr>
        <w:pStyle w:val="List Paragraph"/>
        <w:spacing w:after="0"/>
        <w:ind w:start="0"/>
      </w:pPr>
      <w:pPr>
        <w:tabs>
          <w:tab w:val="right" w:leader="none" w:pos="0"/>
        </w:tabs>
      </w:pPr>
      <w:r>
        <w:t xml:space="preserve">	otherwise set will begin immediately and structural strength will be weakened. </w:t>
      </w:r>
    </w:p>
    <w:p>
      <w:pPr>
        <w:pStyle w:val="List Paragraph"/>
        <w:spacing w:after="0"/>
        <w:ind w:start="0"/>
      </w:pPr>
      <w:r>
        <w:t xml:space="preserve">• 	To slow down the setting action during warmer conditions use iced water to the mix.</w:t>
      </w:r>
    </w:p>
    <w:p>
      <w:pPr>
        <w:pStyle w:val="Heading 3"/>
        <w:pageBreakBefore w:val="false"/>
      </w:pPr>
      <w:r>
        <w:t xml:space="preserve">360A COLD WEATHER </w:t>
      </w:r>
    </w:p>
    <w:p>
      <w:pPr>
        <w:pStyle w:val="List Paragraph"/>
        <w:spacing w:after="0"/>
        <w:ind w:start="0"/>
      </w:pPr>
      <w:r>
        <w:t xml:space="preserve">	General: Do not use frozen materials or apply coatings to frozen or frost-bound substrates</w:t>
      </w:r>
    </w:p>
    <w:p>
      <w:pPr>
        <w:pStyle w:val="Heading 2"/>
        <w:pageBreakBefore w:val="false"/>
      </w:pPr>
      <w:r>
        <w:t xml:space="preserve">PREPARING SUBSTRATES </w:t>
      </w:r>
    </w:p>
    <w:p>
      <w:pPr>
        <w:pStyle w:val="Heading 3"/>
        <w:pageBreakBefore w:val="false"/>
      </w:pPr>
      <w:r>
        <w:t xml:space="preserve">410A SUITABILITY OF SUBSTRATES </w:t>
      </w:r>
    </w:p>
    <w:p>
      <w:pPr>
        <w:pStyle w:val="List Paragraph"/>
        <w:spacing w:after="0"/>
        <w:numPr>
          <w:ilvl w:val="0"/>
          <w:numId w:val="1"/>
        </w:numPr>
      </w:pPr>
      <w:pPr>
        <w:tabs>
          <w:tab w:val="right" w:leader="none" w:pos="0"/>
        </w:tabs>
      </w:pPr>
      <w:r>
        <w:t xml:space="preserve">• 	Generally the surfaces to be treated must be structurally stable, clean, dry and free from debris or loose substrate, salts, </w:t>
      </w:r>
    </w:p>
    <w:p>
      <w:pPr>
        <w:pStyle w:val="List Paragraph"/>
        <w:spacing w:after="0"/>
        <w:ind w:start="600"/>
      </w:pPr>
      <w:pPr>
        <w:tabs>
          <w:tab w:val="right" w:leader="none" w:pos="0"/>
        </w:tabs>
      </w:pPr>
      <w:r>
        <w:t xml:space="preserve">	efflorescence, dust, grease and organic material. </w:t>
      </w:r>
    </w:p>
    <w:p>
      <w:pPr>
        <w:pStyle w:val="List Paragraph"/>
        <w:spacing w:after="0"/>
        <w:ind w:start="600"/>
      </w:pPr>
      <w:pPr>
        <w:tabs>
          <w:tab w:val="right" w:leader="none" w:pos="0"/>
        </w:tabs>
      </w:pPr>
      <w:r>
        <w:t xml:space="preserve">• 	Surface Damage</w:t>
      </w:r>
    </w:p>
    <w:p>
      <w:pPr>
        <w:pStyle w:val="List Paragraph"/>
        <w:spacing w:after="0"/>
        <w:ind w:start="600"/>
      </w:pPr>
      <w:pPr>
        <w:tabs>
          <w:tab w:val="right" w:leader="none" w:pos="0"/>
        </w:tabs>
      </w:pPr>
      <w:r>
        <w:t xml:space="preserve">	Identify and mark damaged areas due for removal. </w:t>
      </w:r>
    </w:p>
    <w:p>
      <w:pPr>
        <w:pStyle w:val="List Paragraph"/>
        <w:spacing w:after="0"/>
        <w:ind w:start="600"/>
      </w:pPr>
      <w:pPr>
        <w:tabs>
          <w:tab w:val="right" w:leader="none" w:pos="0"/>
        </w:tabs>
      </w:pPr>
      <w:r>
        <w:t xml:space="preserve">	The edges of the area to be removed should be carefully saw cut, keeping the area as square as possible. Dovetail where possible. </w:t>
      </w:r>
    </w:p>
    <w:p>
      <w:pPr>
        <w:pStyle w:val="List Paragraph"/>
        <w:spacing w:after="0"/>
        <w:ind w:start="600"/>
      </w:pPr>
      <w:pPr>
        <w:tabs>
          <w:tab w:val="right" w:leader="none" w:pos="0"/>
        </w:tabs>
      </w:pPr>
      <w:r>
        <w:t xml:space="preserve">	Removal of concrete must be at least 10mm - at no point should the repair be to an area of concrete that is less than 10mm in any dimension. </w:t>
      </w:r>
    </w:p>
    <w:p>
      <w:pPr>
        <w:pStyle w:val="List Paragraph"/>
        <w:spacing w:after="0"/>
        <w:ind w:start="600"/>
      </w:pPr>
      <w:pPr>
        <w:tabs>
          <w:tab w:val="right" w:leader="none" w:pos="0"/>
        </w:tabs>
      </w:pPr>
      <w:r>
        <w:t xml:space="preserve">• 	Cracks</w:t>
      </w:r>
    </w:p>
    <w:p>
      <w:pPr>
        <w:pStyle w:val="List Paragraph"/>
        <w:spacing w:after="0"/>
        <w:ind w:start="600"/>
      </w:pPr>
      <w:pPr>
        <w:tabs>
          <w:tab w:val="right" w:leader="none" w:pos="0"/>
        </w:tabs>
      </w:pPr>
      <w:r>
        <w:t xml:space="preserve">	Identify and mark damaged areas due for removal. </w:t>
      </w:r>
    </w:p>
    <w:p>
      <w:pPr>
        <w:pStyle w:val="List Paragraph"/>
        <w:spacing w:after="0"/>
        <w:ind w:start="600"/>
      </w:pPr>
      <w:pPr>
        <w:tabs>
          <w:tab w:val="right" w:leader="none" w:pos="0"/>
        </w:tabs>
      </w:pPr>
      <w:r>
        <w:t xml:space="preserve">	The edges of the area to be removed should be carefully cut using a dovetail router with a minimum 10mm bit. Avoid feather edging. </w:t>
      </w:r>
    </w:p>
    <w:p>
      <w:pPr>
        <w:pStyle w:val="List Paragraph"/>
        <w:spacing w:after="0"/>
        <w:ind w:start="600"/>
      </w:pPr>
      <w:pPr>
        <w:tabs>
          <w:tab w:val="right" w:leader="none" w:pos="0"/>
        </w:tabs>
      </w:pPr>
      <w:r>
        <w:t xml:space="preserve">	Removal of concrete must be at least 10mm - at no point should the repair be to an area of concrete that is less than 10mm in any dimension. </w:t>
      </w:r>
    </w:p>
    <w:p>
      <w:pPr>
        <w:pStyle w:val="List Paragraph"/>
        <w:spacing w:after="0"/>
        <w:ind w:start="600"/>
      </w:pPr>
      <w:r>
        <w:t xml:space="preserve">	If the crack can be seen to extend through the concrete, consult a structural engineer before proceeding further..</w:t>
      </w:r>
    </w:p>
    <w:p>
      <w:pPr>
        <w:pStyle w:val="Heading 3"/>
        <w:pageBreakBefore w:val="false"/>
      </w:pPr>
      <w:r>
        <w:t xml:space="preserve">420A PREPARATION OF MORTAR JOINTS AND CAVITIES </w:t>
      </w:r>
    </w:p>
    <w:p>
      <w:pPr>
        <w:pStyle w:val="List Paragraph"/>
        <w:spacing w:after="0"/>
        <w:numPr>
          <w:ilvl w:val="0"/>
          <w:numId w:val="1"/>
        </w:numPr>
      </w:pPr>
      <w:pPr>
        <w:tabs>
          <w:tab w:val="right" w:leader="none" w:pos="0"/>
        </w:tabs>
      </w:pPr>
      <w:r>
        <w:t xml:space="preserve">• 	To help key the material always dovetail cut do not use V-cut. Open the crack or hole by cutting to a minimum width and depth of 20mm. Brush away all cuttings and dust.</w:t>
      </w:r>
    </w:p>
    <w:p>
      <w:pPr>
        <w:pStyle w:val="List Paragraph"/>
        <w:spacing w:after="0"/>
        <w:ind w:start="600"/>
      </w:pPr>
      <w:r>
        <w:t xml:space="preserve">• 	Cut out defective mortar joints or cracks to a minimum width and depth of 20mm. </w:t>
      </w:r>
    </w:p>
    <w:p>
      <w:pPr>
        <w:pStyle w:val="Heading 2"/>
        <w:pageBreakBefore w:val="false"/>
      </w:pPr>
      <w:r>
        <w:t xml:space="preserve">EXECUTION </w:t>
      </w:r>
    </w:p>
    <w:p>
      <w:pPr>
        <w:pStyle w:val="Heading 3"/>
        <w:pageBreakBefore w:val="false"/>
      </w:pPr>
      <w:r>
        <w:t xml:space="preserve">520A JOINTS/ JUNCTIONS AND PENETRATIONS </w:t>
      </w:r>
    </w:p>
    <w:p>
      <w:pPr>
        <w:pStyle w:val="List Paragraph"/>
        <w:spacing w:after="0"/>
        <w:numPr>
          <w:ilvl w:val="0"/>
          <w:numId w:val="1"/>
        </w:numPr>
      </w:pPr>
      <w:pPr>
        <w:tabs>
          <w:tab w:val="right" w:leader="none" w:pos="0"/>
        </w:tabs>
      </w:pPr>
      <w:r>
        <w:t xml:space="preserve">	Cut out defective mortar joints or cracks to a minimum width and depth of </w:t>
      </w:r>
    </w:p>
    <w:p>
      <w:pPr>
        <w:pStyle w:val="List Paragraph"/>
        <w:spacing w:after="0"/>
        <w:ind w:start="600"/>
      </w:pPr>
      <w:r>
        <w:t xml:space="preserve">	20mm with a dovetail router. Force Newton 313-WP WaterPlug into the routed channel and keep damp for at least 15 minutes.</w:t>
      </w:r>
    </w:p>
    <w:p>
      <w:pPr>
        <w:pStyle w:val="Heading 3"/>
        <w:pageBreakBefore w:val="false"/>
      </w:pPr>
      <w:r>
        <w:t xml:space="preserve">550A CURING AND DRYING </w:t>
      </w:r>
    </w:p>
    <w:p>
      <w:pPr>
        <w:pStyle w:val="List Paragraph"/>
        <w:spacing w:after="0"/>
        <w:ind w:start="0"/>
      </w:pPr>
      <w:r>
        <w:t xml:space="preserve">• 	Newton 313 WaterPlug does not require curing</w:t>
      </w:r>
    </w:p>
  </w:body>
</w:document>
</file>

<file path=word/numbering.xml><?xml version="1.0" encoding="utf-8"?>
<w:numbering xmlns:w="http://schemas.openxmlformats.org/wordprocessingml/2006/main">
  <w:abstractNum w:abstractNumId="0">
    <w:multiLevelType w:val="hybridMultilevel"/>
    <w:lvl w:ilvl="0">
      <w:numFmt w:val="bullet"/>
      <w:lvlText w:val="·"/>
      <w:lvlJc w:val="left"/>
      <w:pPr>
        <w:ind w:left="600" w:start="600" w:hanging="360"/>
      </w:pPr>
      <w:rPr>
        <w:rFonts w:hint="default" w:ascii="Symbol" w:hAnsi="Symbol"/>
      </w:rPr>
    </w:lvl>
    <w:lvl w:ilvl="1">
      <w:numFmt w:val="bullet"/>
      <w:lvlText w:val="-"/>
      <w:lvlJc w:val="left"/>
      <w:pPr>
        <w:ind w:left="1200" w:start="1200" w:hanging="360"/>
      </w:pPr>
      <w:rPr>
        <w:rFonts w:hint="default" w:ascii="Symbol" w:hAnsi="Symbol"/>
      </w:rPr>
    </w:lvl>
    <w:lvl w:ilvl="2">
      <w:numFmt w:val="bullet"/>
      <w:lvlText w:val=""/>
      <w:lvlJc w:val="left"/>
      <w:pPr>
        <w:ind w:left="1800" w:start="1800" w:hanging="36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compat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style w:type="character" w:styleId="DefaultParagraphFont" w:default="true">
    <w:name w:val="Default Paragraph Font"/>
    <w:uiPriority w:val="1"/>
    <w:semiHidden/>
    <w:unhideWhenUsed/>
  </w:style>
  <w:style w:type="paragraph" w:styleId="Heading 1" w:default="false" w:customStyle="false">
    <w:name w:val="Heading 1"/>
    <w:basedOn w:val="Normal"/>
    <w:pPr>
      <w:spacing w:before="480" w:after="0" w:lineRule="auto"/>
      <w:keepNext/>
      <w:keepLines/>
      <w:outlineLvl w:val="0"/>
      <w:pageBreakBefore/>
    </w:pPr>
    <w:uiPriority w:val="9"/>
    <w:qFormat/>
    <w:next w:val="Normal"/>
    <w:link w:val="Heading 1 char"/>
    <w:rPr>
      <w:rFonts w:ascii="Cambria"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 1 char" w:default="false" w:customStyle="false">
    <w:name w:val="Heading 1 char"/>
    <w:basedOn w:val="Normal"/>
    <w:pPr>
      <w:spacing w:before="480" w:after="0" w:lineRule="auto"/>
      <w:keepNext/>
      <w:keepLines/>
      <w:outlineLvl w:val="0"/>
      <w:pageBreakBefore/>
    </w:pPr>
    <w:uiPriority w:val="9"/>
    <w:qFormat/>
    <w:next w:val="Normal"/>
    <w:link w:val="Heading 1"/>
    <w:rPr>
      <w:rFonts w:ascii="Cambria"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 2" w:default="false" w:customStyle="false">
    <w:name w:val="Heading 2"/>
    <w:basedOn w:val="Normal"/>
    <w:pPr>
      <w:spacing w:before="200" w:after="0" w:lineRule="auto"/>
      <w:keepNext/>
      <w:keepLines/>
      <w:outlineLvl w:val="0"/>
    </w:pPr>
    <w:uiPriority w:val="9"/>
    <w:qFormat/>
    <w:next w:val="Normal"/>
    <w:unhideWhenUsed/>
    <w:link w:val="Heading 2 char"/>
    <w:rPr>
      <w:rFonts w:ascii="Cambria"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 2 char" w:default="false" w:customStyle="false">
    <w:name w:val="Heading 2 char"/>
    <w:basedOn w:val="Normal"/>
    <w:pPr>
      <w:spacing w:before="200" w:after="0" w:lineRule="auto"/>
      <w:keepNext/>
      <w:keepLines/>
    </w:pPr>
    <w:uiPriority w:val="9"/>
    <w:qFormat/>
    <w:next w:val="Normal"/>
    <w:unhideWhenUsed/>
    <w:link w:val="Heading 2"/>
    <w:rPr>
      <w:rFonts w:ascii="Cambria"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 3" w:default="false" w:customStyle="false">
    <w:name w:val="Heading 3"/>
    <w:basedOn w:val="Normal"/>
    <w:pPr>
      <w:spacing w:before="200" w:after="0" w:lineRule="auto"/>
      <w:keepNext/>
      <w:keepLines/>
    </w:pPr>
    <w:uiPriority w:val="9"/>
    <w:qFormat/>
    <w:next w:val="Normal"/>
    <w:unhideWhenUsed/>
    <w:link w:val="Heading 3 char"/>
    <w:rPr>
      <w:rFonts w:ascii="Cambria" w:asciiTheme="majorHAnsi" w:hAnsiTheme="majorHAnsi" w:eastAsiaTheme="majorEastAsia" w:cstheme="majorBidi"/>
      <w:b/>
      <w:bCs/>
      <w:color w:val="4F81BD" w:themeColor="accent1"/>
    </w:rPr>
  </w:style>
  <w:style w:type="character" w:styleId="Heading 3 char" w:default="false" w:customStyle="false">
    <w:name w:val="Heading 3 char"/>
    <w:basedOn w:val="Normal"/>
    <w:pPr>
      <w:spacing w:before="200" w:after="0" w:lineRule="auto"/>
      <w:keepNext/>
      <w:keepLines/>
    </w:pPr>
    <w:uiPriority w:val="9"/>
    <w:qFormat/>
    <w:next w:val="Normal"/>
    <w:unhideWhenUsed/>
    <w:link w:val="Heading 3"/>
    <w:rPr>
      <w:rFonts w:ascii="Cambria" w:asciiTheme="majorHAnsi" w:hAnsiTheme="majorHAnsi" w:eastAsiaTheme="majorEastAsia" w:cstheme="majorBidi"/>
      <w:b/>
      <w:bCs/>
      <w:color w:val="4F81BD" w:themeColor="accent1"/>
    </w:rPr>
  </w:style>
  <w:style w:type="paragraph" w:styleId="Normal" w:default="true" w:customStyle="false">
    <w:name w:val="Normal"/>
    <w:pPr/>
    <w:qFormat/>
    <w:rPr/>
  </w:style>
  <w:style w:type="character" w:styleId="Hyperlink" w:default="false" w:customStyle="false">
    <w:name w:val="Hyperlink"/>
    <w:basedOn w:val="DefaultParagraphFont"/>
    <w:pPr/>
    <w:uiPriority w:val="99"/>
    <w:unhideWhenUsed/>
    <w:rPr>
      <w:color w:val="0000FF" w:themeColor="hyperlink"/>
      <w:u w:val="single"/>
    </w:rPr>
  </w:style>
  <w:style w:type="paragraph" w:styleId="List Paragraph" w:default="false" w:customStyle="false">
    <w:name w:val="List Paragraph"/>
    <w:basedOn w:val="Normal"/>
    <w:pPr>
      <w:contextualSpacing/>
      <w:ind w:start="720"/>
    </w:pPr>
    <w:uiPriority w:val="34"/>
    <w:qFormat/>
    <w:rPr/>
  </w:style>
  <w:style w:type="paragraph" w:styleId="title" w:default="false" w:customStyle="false">
    <w:name w:val="Title"/>
    <w:basedOn w:val="Normal"/>
    <w:pPr>
      <w:spacing w:after="300" w:line="240" w:lineRule="auto"/>
      <w:contextualSpacing/>
      <w:pageBreakBefore/>
      <w:pBdr>
        <w:bottom w:val="single" w:color="4f81bd" w:themeColor="accent1" w:sz="8" w:space="4"/>
      </w:pBdr>
    </w:pPr>
    <w:uiPriority w:val="10"/>
    <w:qFormat/>
    <w:next w:val="Normal"/>
    <w:link w:val="title char"/>
    <w:rPr>
      <w:rFonts w:ascii="cambria" w:asciiTheme="majorHAnsi" w:hAnsiTheme="majorHAnsi" w:eastAsiaTheme="majorEastAsia" w:cstheme="majorBidi"/>
      <w:color w:val="17365d" w:themeColor="text2" w:themeShade="bf"/>
      <w:sz w:val="52"/>
      <w:szCs w:val="52"/>
      <w:spacing w:val="5"/>
      <w:kern w:val="28"/>
    </w:rPr>
  </w:style>
  <w:style w:type="character" w:styleId="title char" w:default="false" w:customStyle="false">
    <w:name w:val="Title char"/>
    <w:basedOn w:val="Normal"/>
    <w:pPr>
      <w:spacing w:after="300" w:line="240" w:lineRule="auto"/>
      <w:contextualSpacing/>
      <w:pageBreakBefore/>
    </w:pPr>
    <w:uiPriority w:val="10"/>
    <w:qFormat/>
    <w:next w:val="Normal"/>
    <w:link w:val="title"/>
    <w:rPr>
      <w:rFonts w:ascii="cambria" w:asciiTheme="majorHAnsi" w:hAnsiTheme="majorHAnsi" w:eastAsiaTheme="majorEastAsia" w:cstheme="majorBidi"/>
      <w:color w:val="17365d" w:themeColor="text2" w:themeShade="bf"/>
      <w:sz w:val="52"/>
      <w:szCs w:val="52"/>
      <w:spacing w:val="5"/>
      <w:kern w:val="28"/>
    </w:rPr>
  </w:style>
  <w:style w:type="paragraph" w:styleId="NBS End Of Section" w:default="false" w:customStyle="true">
    <w:name w:val="NBS End Of Section"/>
    <w:basedOn w:val="Normal"/>
    <w:pPr/>
    <w:uiPriority w:val="49"/>
    <w:qFormat/>
    <w:next w:val="Normal"/>
    <w:rPr>
      <w:color w:themeColor="text1" w:themeTint="7F"/>
    </w:rPr>
  </w:style>
  <w:style w:type="character" w:styleId="NBS Clause Item Title" w:default="false" w:customStyle="true">
    <w:name w:val="NBS Clause Item Title"/>
    <w:basedOn w:val="DefaultParagraphFont"/>
    <w:pPr/>
    <w:uiPriority w:val="49"/>
    <w:qFormat/>
    <w:rPr>
      <w:b/>
      <w:bCs/>
    </w:rPr>
  </w:style>
  <w:style w:type="character" w:styleId="NBS Deleted Clause" w:default="false" w:customStyle="true">
    <w:name w:val="NBS Deleted Clause"/>
    <w:basedOn w:val="DefaultParagraphFont"/>
    <w:pPr/>
    <w:uiPriority w:val="49"/>
    <w:qFormat/>
    <w:rPr>
      <w:color w:val="FF0000"/>
      <w:strike/>
      <w:dstrike w:val="false"/>
    </w:rPr>
  </w:style>
  <w:style w:type="paragraph" w:styleId="NBS Revised Clause" w:default="false" w:customStyle="true">
    <w:name w:val="NBS Revised Clause"/>
    <w:basedOn w:val="Normal"/>
    <w:pPr/>
    <w:uiPriority w:val="49"/>
    <w:qFormat/>
    <w:rPr>
      <w:color w:val="FF0000"/>
      <w:i/>
    </w:rPr>
  </w:style>
  <w:style w:type="paragraph" w:styleId="Subtitle" w:default="false" w:customStyle="false">
    <w:name w:val="Subtitle"/>
    <w:basedOn w:val="Normal"/>
    <w:pPr>
      <w:pageBreakBefore/>
    </w:pPr>
    <w:uiPriority w:val="11"/>
    <w:qFormat/>
    <w:next w:val="Normal"/>
    <w:link w:val="Subtitle char"/>
    <w:rPr>
      <w:rFonts w:ascii="cambria" w:asciiTheme="majorHAnsi" w:hAnsiTheme="majorHAnsi" w:eastAsiaTheme="majorEastAsia" w:cstheme="majorBidi"/>
      <w:color w:val="4F81BD" w:themeColor="accent1"/>
      <w:sz w:val="24"/>
      <w:szCs w:val="24"/>
      <w:i/>
      <w:spacing w:val="15"/>
    </w:rPr>
  </w:style>
  <w:style w:type="character" w:styleId="Subtitle char" w:default="false" w:customStyle="true">
    <w:name w:val="Subtitle char"/>
    <w:basedOn w:val="Normal"/>
    <w:pPr>
      <w:pageBreakBefore/>
    </w:pPr>
    <w:uiPriority w:val="11"/>
    <w:qFormat/>
    <w:next w:val="Normal"/>
    <w:link w:val="Subtitle"/>
    <w:rPr>
      <w:rFonts w:ascii="cambria" w:asciiTheme="majorHAnsi" w:hAnsiTheme="majorHAnsi" w:eastAsiaTheme="majorEastAsia" w:cstheme="majorBidi"/>
      <w:color w:val="4F81BD" w:themeColor="accent1"/>
      <w:sz w:val="24"/>
      <w:szCs w:val="24"/>
      <w:i/>
      <w:spacing w:val="15"/>
    </w:rPr>
  </w:style>
  <w:style w:type="paragraph" w:styleId="NBS Subtitle" w:default="false" w:customStyle="true">
    <w:name w:val="NBS Subtitle"/>
    <w:basedOn w:val="Subtitle"/>
    <w:pPr/>
    <w:uiPriority w:val="49"/>
    <w:qFormat/>
    <w:rPr>
      <w:sz w:val="40"/>
      <w:szCs w:val="40"/>
    </w:rPr>
  </w:style>
  <w:style w:type="paragraph" w:styleId="NBS Revision Table Heading" w:default="false" w:customStyle="true">
    <w:name w:val="NBS Revision Table Heading"/>
    <w:basedOn w:val="Normal"/>
    <w:pPr>
      <w:spacing w:after="0" w:line="240" w:lineRule="auto"/>
      <w:pageBreakBefore/>
    </w:pPr>
    <w:uiPriority w:val="49"/>
    <w:qFormat/>
    <w:rPr>
      <w:b/>
      <w:bCs/>
    </w:rPr>
  </w:style>
  <w:style w:type="paragraph" w:styleId="NBS Report Table Heading" w:default="false" w:customStyle="true">
    <w:name w:val="NBS Report Table Heading"/>
    <w:basedOn w:val="Normal"/>
    <w:pPr>
      <w:spacing w:before="200" w:lineRule="auto"/>
    </w:pPr>
    <w:uiPriority w:val="49"/>
    <w:qFormat/>
    <w:next w:val="Normal"/>
    <w:rPr>
      <w:b/>
      <w:bCs/>
    </w:rPr>
  </w:style>
  <w:style w:type="paragraph" w:styleId="NBS Report Table Subheading" w:default="false" w:customStyle="true">
    <w:name w:val="NBS Report Table Subheading"/>
    <w:basedOn w:val="Normal"/>
    <w:pPr/>
    <w:uiPriority w:val="49"/>
    <w:qFormat/>
    <w:next w:val="Normal"/>
    <w:rPr>
      <w:b/>
      <w:bCs/>
    </w:rPr>
  </w:style>
  <w:style w:type="paragraph" w:styleId="NBS Report List" w:default="false" w:customStyle="true">
    <w:name w:val="NBS Report List"/>
    <w:basedOn w:val="List Paragraph"/>
    <w:pPr>
      <w:spacing w:after="0" w:line="240" w:lineRule="auto"/>
      <w:ind w:left="227" w:hanging="227"/>
      <w:numPr>
        <w:numId w:val="1"/>
      </w:numPr>
    </w:pPr>
    <w:uiPriority w:val="49"/>
    <w:qFormat/>
    <w:rPr/>
  </w:style>
  <w:style w:type="table" w:styleId="RevisionDetails">
    <w:name w:val="RevisionDetails"/>
    <w:pPr/>
    <w:tblPr>
      <w:tblBorders>
        <w:top w:val="basicThinLines" w:sz="1"/>
        <w:bottom w:val="basicThinLines" w:sz="1"/>
        <w:left w:val="basicThinLines" w:sz="1"/>
        <w:right w:val="basicThinLines" w:sz="1"/>
        <w:insideH w:val="basicThinLines" w:sz="1"/>
        <w:insideV w:val="basicThinLines" w:sz="1"/>
      </w:tblBorders>
      <w:tblCellMar>
        <w:top w:w="0" w:type="dxa"/>
        <w:left w:w="142" w:type="dxa"/>
        <w:bottom w:w="0" w:type="dxa"/>
        <w:right w:w="0" w:type="dxa"/>
      </w:tblCellMar>
    </w:tblPr>
    <w:basedOn w:val="TableNormal"/>
  </w:style>
  <w:style w:type="paragraph" w:styleId="TOCHeading" w:default="false" w:customStyle="false">
    <w:name w:val="TOCHeading"/>
    <w:basedOn w:val="Normal"/>
    <w:pPr>
      <w:spacing w:before="480" w:after="0" w:lineRule="auto"/>
      <w:keepNext/>
      <w:keepLines/>
      <w:outlineLvl w:val="0"/>
    </w:pPr>
    <w:uiPriority w:val="9"/>
    <w:qFormat/>
    <w:next w:val="Normal"/>
    <w:link w:val="TOCHeading char"/>
    <w:rPr>
      <w:rFonts w:ascii="Cambria"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6412ce8e60524d1d" Type="http://schemas.openxmlformats.org/officeDocument/2006/relationships/numbering" Target="/word/numbering.xml"/><Relationship Id="rId3" Type="http://schemas.openxmlformats.org/officeDocument/2006/relationships/customXml" Target="../customXml/item3.xml"/><Relationship Id="R640356616ecb44ae" Type="http://schemas.openxmlformats.org/officeDocument/2006/relationships/styles" Target="/word/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47fa99ad3b254a4e" Type="http://schemas.openxmlformats.org/officeDocument/2006/relationships/settings" Target="/word/setting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B04D3CF99CB040830A055EF63882F1" ma:contentTypeVersion="11" ma:contentTypeDescription="Create a new document." ma:contentTypeScope="" ma:versionID="e2b6f18d07041fe697006110671480ad">
  <xsd:schema xmlns:xsd="http://www.w3.org/2001/XMLSchema" xmlns:xs="http://www.w3.org/2001/XMLSchema" xmlns:p="http://schemas.microsoft.com/office/2006/metadata/properties" xmlns:ns2="fc5253de-7ed9-49e3-aaac-31cd52e46be1" xmlns:ns3="c3432360-2d18-4de5-87c4-aa8620f8e462" targetNamespace="http://schemas.microsoft.com/office/2006/metadata/properties" ma:root="true" ma:fieldsID="0c05ddacba6c69356983fc6e04b67cdd" ns2:_="" ns3:_="">
    <xsd:import namespace="fc5253de-7ed9-49e3-aaac-31cd52e46be1"/>
    <xsd:import namespace="c3432360-2d18-4de5-87c4-aa8620f8e4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253de-7ed9-49e3-aaac-31cd52e46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32360-2d18-4de5-87c4-aa8620f8e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3B31BD-2983-494F-93DA-1D025B5EF13A}"/>
</file>

<file path=customXml/itemProps2.xml><?xml version="1.0" encoding="utf-8"?>
<ds:datastoreItem xmlns:ds="http://schemas.openxmlformats.org/officeDocument/2006/customXml" ds:itemID="{6FA23B44-3159-4E05-A6F1-0F403EA25952}"/>
</file>

<file path=customXml/itemProps3.xml><?xml version="1.0" encoding="utf-8"?>
<ds:datastoreItem xmlns:ds="http://schemas.openxmlformats.org/officeDocument/2006/customXml" ds:itemID="{73846C2C-B487-43B6-BDD7-2B7F1F3673CB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0x0101000AB04D3CF99CB040830A055EF63882F1</vt:lpwstr>
  </property>
</Properties>
</file>