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fd198224aac84cfd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J30 Liquid applied tanking/ damp proofing</w:t>
      </w:r>
    </w:p>
    <w:p>
      <w:pPr>
        <w:pStyle w:val="Heading 3"/>
        <w:pageBreakBefore w:val="false"/>
      </w:pPr>
      <w:r>
        <w:t xml:space="preserve">To be read with Preliminaries/General conditions </w:t>
      </w:r>
    </w:p>
    <w:p>
      <w:pPr>
        <w:pStyle w:val="Heading 2"/>
        <w:pageBreakBefore w:val="false"/>
      </w:pPr>
      <w:r>
        <w:t xml:space="preserve">TYPES OF TANKING/ DAMP PROOFING </w:t>
      </w:r>
    </w:p>
    <w:p>
      <w:pPr>
        <w:pStyle w:val="Heading 3"/>
        <w:pageBreakBefore w:val="false"/>
      </w:pPr>
      <w:r>
        <w:t xml:space="preserve">110A SEAMLESS RUBBER WATERPROOFING MEMBRANE Newton 108 HydroBond-LM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Substrate:  Concrete of at least 20kN.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Primer:  For a porous substrate. Water catalyst side turned off on spraying machine between 0.1 and 0.3 litres per m2, depending on the porosity.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Coating:  Rubber.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Manufacturer:  Newton Waterproofing Systems Ltd.</w:t>
      </w:r>
    </w:p>
    <w:p>
      <w:pPr>
        <w:pStyle w:val="List Paragraph"/>
        <w:spacing w:after="0"/>
        <w:numPr>
          <w:ilvl w:val="2"/>
          <w:numId w:val="1"/>
        </w:numPr>
      </w:pPr>
      <w:r>
        <w:t xml:space="preserve">Product reference:  HBLM-1/ HBLM-2.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Application:  Newton 108 HydroBond-LM sprayed to walls, terminated at DPC at ground level. Where it is not possible to spray due to space or other constraints, Newton 109-LM should be applied by brush or roller.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Reinforcement: Reinforce static joints with Newton 914-RT. </w:t>
      </w:r>
    </w:p>
    <w:p>
      <w:pPr>
        <w:pStyle w:val="Heading 2"/>
        <w:pageBreakBefore w:val="false"/>
      </w:pPr>
      <w:r>
        <w:t xml:space="preserve">EXECUTION </w:t>
      </w:r>
    </w:p>
    <w:p>
      <w:pPr>
        <w:pStyle w:val="Heading 3"/>
        <w:pageBreakBefore w:val="false"/>
      </w:pPr>
      <w:r>
        <w:t xml:space="preserve">205A SUITABILITY OF SUBSTRATE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Substrates generally: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Smooth, even textured, clean, dry and frost free.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Within tolerances for level and surface regularity.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Vertical and horizontal surfaces: Correctly prepared and free from irregularities.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Curing period for concrete substrates (minimum): 7 days.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Moisture content and stability of substrate: Must not impair integrity of finished tanking/ damp proofing.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Preliminary work: Internal changes in direction: Smoothed with a 45° smoothing fillet of at least 25mm x 25mm, alternatively, changes in direction can be reinforced with Newton 914-RT adhered with 1mm coat of product in preparation for main application of the membrane.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Construction joints: Bed Newton 914-RT into a coat of 1kg/m2 coat of the product ready for the main application of the membrane.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Movement joints: Where slight contraction only is to be expected, Bed Newton 914-RT into  a coat of 1kg/m2 coat ready for main application of membrane. Where an open joint exists, this should be designed to suit the extent of expected movement.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Penetrations/ Outlets: Pipe or cable ducts should be reinforced with Newton 914-RT tape or a Newton PipeCollar bedded into 1mm of 108 HydroBond-LM</w:t>
      </w:r>
    </w:p>
    <w:p>
      <w:pPr>
        <w:pStyle w:val="Heading 3"/>
        <w:pageBreakBefore w:val="false"/>
      </w:pPr>
      <w:r>
        <w:t xml:space="preserve">207A PRIMERS Not required unless applied to horizontal surfaces.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Primer: With porous substrate, the operative may apply a mist coat of the product without the salt catalyst to seal the surface prior to the main application.</w:t>
      </w:r>
    </w:p>
    <w:p>
      <w:pPr>
        <w:pStyle w:val="List Paragraph"/>
        <w:spacing w:after="0"/>
        <w:ind w:start="600"/>
      </w:pPr>
      <w:r>
        <w:t xml:space="preserve">Coatings: Apply in dry atmospheric conditions when substrate is dry/damp.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Uniform, continuous coverage. Do not allow to pool in hollows.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Firmly adhered to substrate and free from imperfections.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Prevent damage to finished coatings.</w:t>
      </w:r>
    </w:p>
    <w:p>
      <w:pPr>
        <w:pStyle w:val="List Paragraph"/>
        <w:spacing w:after="0"/>
        <w:ind w:start="600"/>
      </w:pPr>
      <w:r>
        <w:t xml:space="preserve">Penetrations: Seal using preformed sealing products and tapes as described above.</w:t>
      </w:r>
    </w:p>
    <w:p>
      <w:pPr>
        <w:pStyle w:val="List Paragraph"/>
        <w:spacing w:after="0"/>
        <w:ind w:start="600"/>
      </w:pPr>
      <w:r>
        <w:t xml:space="preserve">Final covering: Apply as soon as possible after coating has hardened.</w:t>
      </w:r>
    </w:p>
    <w:p>
      <w:pPr>
        <w:pStyle w:val="Heading 3"/>
        <w:pageBreakBefore w:val="false"/>
      </w:pPr>
      <w:r>
        <w:t xml:space="preserve">260A JUNCTIONS WITH DPCS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Dpcs: Flashing overlaps Newton 108 HydroBond-LM to protect from UV damage.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UV stable finishing: Band of Newton 109-LM Protect or coloured quartz sand within a further tack coat.</w:t>
      </w:r>
    </w:p>
    <w:p>
      <w:pPr>
        <w:pStyle w:val="List Paragraph"/>
        <w:spacing w:after="0"/>
        <w:ind w:start="600"/>
      </w:pPr>
      <w:r>
        <w:t xml:space="preserve">Cavities: Newton 108 HydroBond-LM overlapped with Newton 109-LM, terminating at the cavity tray. </w:t>
      </w:r>
    </w:p>
    <w:p>
      <w:pPr>
        <w:pStyle w:val="Heading 2"/>
        <w:pageBreakBefore w:val="false"/>
      </w:pPr>
      <w:r>
        <w:t xml:space="preserve">COMPLETION </w:t>
      </w:r>
    </w:p>
    <w:p>
      <w:pPr>
        <w:pStyle w:val="Heading 3"/>
        <w:pageBreakBefore w:val="false"/>
      </w:pPr>
      <w:r>
        <w:t xml:space="preserve">330A PROTECTION OF EXTERNAL COATINGS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Coated surface: Clean and free from contaminants.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Board manufacturer: 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 Newton 410 GeoDrain or Newton 500-C Fibran.</w:t>
      </w:r>
    </w:p>
    <w:p>
      <w:pPr>
        <w:pStyle w:val="Heading 3"/>
        <w:pageBreakBefore w:val="false"/>
      </w:pPr>
      <w:r>
        <w:t xml:space="preserve">340A BACKFILLING TO EXTERNAL COATINGS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Timing: Carry out as soon as possible after tanking and protection are complete.</w:t>
      </w:r>
    </w:p>
    <w:p>
      <w:pPr>
        <w:pStyle w:val="List Paragraph"/>
        <w:spacing w:after="0"/>
        <w:ind w:start="600"/>
      </w:pPr>
      <w:r>
        <w:t xml:space="preserve">Newton 410 GeoDrain: Graded stone placed in controlled layers of no more than 600mm so as to prevent slump to the membrane.</w:t>
      </w:r>
    </w:p>
    <w:p>
      <w:pPr>
        <w:pStyle w:val="List Paragraph"/>
        <w:spacing w:after="0"/>
        <w:ind w:start="600"/>
      </w:pPr>
      <w:r>
        <w:t xml:space="preserve">Newton 500-C Fibran: Ensure removed soil is compacted every 600mm.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fbf40f2c38bd473b" Type="http://schemas.openxmlformats.org/officeDocument/2006/relationships/settings" Target="/word/settings.xml"/><Relationship Id="R7f7f91aa7a7e4de8" Type="http://schemas.openxmlformats.org/officeDocument/2006/relationships/numbering" Target="/word/numbering.xml"/><Relationship Id="rId1" Type="http://schemas.openxmlformats.org/officeDocument/2006/relationships/customXml" Target="../customXml/item1.xml"/><Relationship Id="Rea1de4790e7f40fd" Type="http://schemas.openxmlformats.org/officeDocument/2006/relationships/styles" Target="/word/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205103-63BB-4C6C-A960-F3FA68B4B763}"/>
</file>

<file path=customXml/itemProps2.xml><?xml version="1.0" encoding="utf-8"?>
<ds:datastoreItem xmlns:ds="http://schemas.openxmlformats.org/officeDocument/2006/customXml" ds:itemID="{C3F55950-4393-43D8-94D1-D2470F7E9824}"/>
</file>

<file path=customXml/itemProps3.xml><?xml version="1.0" encoding="utf-8"?>
<ds:datastoreItem xmlns:ds="http://schemas.openxmlformats.org/officeDocument/2006/customXml" ds:itemID="{04822579-4C55-4190-B7DA-D95D132238F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